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Mönsterås kommunfullmäktige</w:t>
      </w:r>
    </w:p>
    <w:p>
      <w:pPr>
        <w:pStyle w:val="Heading1"/>
      </w:pPr>
      <w:r>
        <w:t xml:space="preserve">Fler lärlingsplatser för unga i Mönsterås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Mönsterås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12 % av gymnasieeleverna i Mönsterås går lärlingsutbildning 2024 (Skolverket). Samtidigt har Södra och besöksnäringen behov av arbetskraft. Lärlingsplatser förbättrar både integration och sysselsättning.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Mönsterås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ges i uppdrag att teckna avtal med minst 20 nya lärlingsplatser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nämnden ska erbjuda handledarutbildning för företag kostnadsfritt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uppföljning av antalet lärlingsplatser redovisas för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Arbetsförmedlingen formaliseras i ett samverkansavtal senast 2027.</w:t>
      </w:r>
    </w:p>
    <w:p>
      <w:pPr>
        <w:spacing w:before="360"/>
      </w:pPr>
    </w:p>
    <w:p>
      <w:r>
        <w:t xml:space="preserve">Mönsterås,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Mönsterås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2026-07-14T04:38:09.376Z</dcterms:created>
  <dcterms:modified xsi:type="dcterms:W3CDTF">2026-07-14T04:38:09.376Z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